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C1" w:rsidRDefault="004E6F19" w:rsidP="004E6F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3272791</wp:posOffset>
            </wp:positionH>
            <wp:positionV relativeFrom="paragraph">
              <wp:posOffset>253</wp:posOffset>
            </wp:positionV>
            <wp:extent cx="2931160" cy="150897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ректор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917" cy="152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F19" w:rsidRDefault="004E6F19" w:rsidP="004E6F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6F19" w:rsidRDefault="004E6F19" w:rsidP="004E6F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6F19" w:rsidRDefault="004E6F19" w:rsidP="004E6F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6F19" w:rsidRDefault="004E6F19" w:rsidP="004E6F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6F19" w:rsidRDefault="004E6F19" w:rsidP="004E6F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6F19" w:rsidRPr="006C3CC1" w:rsidRDefault="004E6F19" w:rsidP="004E6F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C1">
        <w:rPr>
          <w:rFonts w:ascii="Times New Roman" w:hAnsi="Times New Roman" w:cs="Times New Roman"/>
          <w:b/>
          <w:sz w:val="24"/>
          <w:szCs w:val="24"/>
          <w:lang w:val="kk-KZ"/>
        </w:rPr>
        <w:t>План Комитета по делам молодежи</w:t>
      </w: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C1">
        <w:rPr>
          <w:rFonts w:ascii="Times New Roman" w:hAnsi="Times New Roman" w:cs="Times New Roman"/>
          <w:b/>
          <w:sz w:val="24"/>
          <w:szCs w:val="24"/>
          <w:lang w:val="kk-KZ"/>
        </w:rPr>
        <w:t>Академии «</w:t>
      </w:r>
      <w:proofErr w:type="spellStart"/>
      <w:r w:rsidRPr="006C3CC1"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 w:rsidRPr="006C3CC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C1">
        <w:rPr>
          <w:rFonts w:ascii="Times New Roman" w:hAnsi="Times New Roman" w:cs="Times New Roman"/>
          <w:b/>
          <w:sz w:val="24"/>
          <w:szCs w:val="24"/>
          <w:lang w:val="kk-KZ"/>
        </w:rPr>
        <w:t>на 2024-2025 учебный год</w:t>
      </w: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CC1" w:rsidRPr="006C3CC1" w:rsidRDefault="006C3CC1" w:rsidP="006C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3CC1">
        <w:rPr>
          <w:rFonts w:ascii="Times New Roman" w:hAnsi="Times New Roman" w:cs="Times New Roman"/>
          <w:b/>
          <w:sz w:val="24"/>
          <w:szCs w:val="24"/>
          <w:lang w:val="kk-KZ"/>
        </w:rPr>
        <w:t>Караганда 2024 г.</w:t>
      </w:r>
    </w:p>
    <w:p w:rsidR="006D1CED" w:rsidRPr="006C3CC1" w:rsidRDefault="003372F2" w:rsidP="006C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ПОЯСНИТЕЛЬНОЕ ПИСЬМО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6C3CC1">
        <w:rPr>
          <w:rFonts w:ascii="Times New Roman" w:eastAsia="Times New Roman" w:hAnsi="Times New Roman" w:cs="Times New Roman"/>
          <w:sz w:val="24"/>
          <w:szCs w:val="24"/>
        </w:rPr>
        <w:t>Дебатное</w:t>
      </w:r>
      <w:proofErr w:type="spellEnd"/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 движение-требование нового времени" - кружок нового направления, образовательная программа которого четко предусматривает гуманитарную систему образования. Предусмотрено участие студентов в дебатах, самостоятельном поиске, получении знаний и акт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ивизации общей творческой активности. В ходе подготовки к дебатам студенты собирают данные по определенной теме и группируют их в план на две разные позиции, поддерживающие противоположные направления. Юные </w:t>
      </w:r>
      <w:proofErr w:type="spellStart"/>
      <w:r w:rsidRPr="006C3CC1">
        <w:rPr>
          <w:rFonts w:ascii="Times New Roman" w:eastAsia="Times New Roman" w:hAnsi="Times New Roman" w:cs="Times New Roman"/>
          <w:sz w:val="24"/>
          <w:szCs w:val="24"/>
        </w:rPr>
        <w:t>дебатёры</w:t>
      </w:r>
      <w:proofErr w:type="spellEnd"/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 играют в наиболее популярном и распростр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аненном формате АПФ (американский парламентский формат). Это кейсы групп кадрирования и датирования. В результате этого студенты могут отказаться от предвзятого отношения к любой проблеме и рассмотреть различные способы разделения глубоко, критически настр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оенных студентов, а также членов парламента. </w:t>
      </w:r>
      <w:proofErr w:type="gramStart"/>
      <w:r w:rsidRPr="006C3CC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6C3CC1">
        <w:rPr>
          <w:rFonts w:ascii="Times New Roman" w:eastAsia="Times New Roman" w:hAnsi="Times New Roman" w:cs="Times New Roman"/>
          <w:sz w:val="24"/>
          <w:szCs w:val="24"/>
        </w:rPr>
        <w:t>: через психологический тренинг, тонизирование, элементы игры, второй элемент СТО можно разделить на более толстый, более тонкий. Общее мнение-спор, обсуждение, дискуссия, диалог, обсуждение одного вопро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са большинством-является наиболее распространенной и способной дать положительный результат формой достижения истины. Но у этого тоже много своих тонкостей. Прежде всего, сложность вопроса, который он обсуждает, то, что один из нас считает правдой по любом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у вопросу, совершенно не относится к другому. 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В ходе дискуссий люди высказывают свое мнение об общем вопросе, правомерно, что они могут быть разными, посредством дискуссий стороны имеют возможность разделять мнения, раскрывать недостатки своих взг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лядов, обострять их, совершенствовать. Дискуссия включает в себя логические, психологические, моральные и многие другие аспекты. Есть возможность провести большие соревнования и определить лидеров учащихся.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Наличие собственного видения, критическое исследование и оценка окружения, взвешивание чужих мыслей в принятии решений, убежденность в проведении своих. Глубокое погружение в теорию и практику науки в различных областях приводит к тому, что ее исто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рия, важность, жизнеспособность, польза и вред могут быть взвешены. Раскрывает всестороннее, углубленное изучение образовательной программы.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Дискуссия похожа на обычные предметные олимпиады. Это может быть реализовано через различные уровни дискусс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ионных соревнований, проводимых системой.</w:t>
      </w:r>
    </w:p>
    <w:p w:rsidR="006D1CED" w:rsidRPr="006C3CC1" w:rsidRDefault="003372F2" w:rsidP="006C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нового поколения молодых людей, которые будут активно участвовать в общественной жизни, критически оглядываясь по сторонам, сопереживая человеческим ценностям. Организация </w:t>
      </w:r>
      <w:proofErr w:type="spellStart"/>
      <w:r w:rsidRPr="006C3CC1">
        <w:rPr>
          <w:rFonts w:ascii="Times New Roman" w:eastAsia="Times New Roman" w:hAnsi="Times New Roman" w:cs="Times New Roman"/>
          <w:sz w:val="24"/>
          <w:szCs w:val="24"/>
        </w:rPr>
        <w:t>дебатных</w:t>
      </w:r>
      <w:proofErr w:type="spellEnd"/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 турниров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, выявление и мотивация лучших. Участие студентов в городских, областных, республиканских, международных </w:t>
      </w:r>
      <w:proofErr w:type="spellStart"/>
      <w:r w:rsidRPr="006C3CC1">
        <w:rPr>
          <w:rFonts w:ascii="Times New Roman" w:eastAsia="Times New Roman" w:hAnsi="Times New Roman" w:cs="Times New Roman"/>
          <w:sz w:val="24"/>
          <w:szCs w:val="24"/>
        </w:rPr>
        <w:t>дебатных</w:t>
      </w:r>
      <w:proofErr w:type="spellEnd"/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 турнирах, достижение лучших результатов посредством обмена опытом.</w:t>
      </w:r>
    </w:p>
    <w:p w:rsidR="006D1CED" w:rsidRPr="006C3CC1" w:rsidRDefault="006D1CED" w:rsidP="006C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CED" w:rsidRPr="006C3CC1" w:rsidRDefault="003372F2" w:rsidP="006C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Обязанности: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Дать возможность выявить творческие способности студентов;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Выявление талантливой молодежи, у которой сформировалась культура ораторского искусства и публичных выступлений;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Повышение уровня дискуссий среди студентов;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Развитие критического мышления студентов;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 xml:space="preserve">● Формирование чувства гордости и уважения к своей 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Родине, Казахстану, его главным ценностям;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Передача ответственности и познавательных способностей студентов через различные дискуссии;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Приобщение студентов к коммуникации, культуре речи, искусству речи, умению аргументировать высказывание;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Научить ст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удента самообразованию, ценить себя и других;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Наш патриот к пониманию красоты, к своей Родине, к своей родине.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lastRenderedPageBreak/>
        <w:t>● Квалифицированный, учебно-воспитательный;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Ожидаемый результат: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Эффективное использование досуга студентов;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Через дебаты воспитываются новые граждане обновленного общества с активной гражданской позицией.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Увеличение числа дальновидных граждан, способных считаться с чужими взглядами;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Обучает студентов самостоятельному обучению, поиску;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Способствует тесном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у общению студентов друг с другом, обмену мнениями, установлению диалога общения.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Различается чувство политического сознания, отношение к обществу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Глубоко усваивает литературную ценность, передаваемую через учебник.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Может получить средства массовой и</w:t>
      </w:r>
      <w:r w:rsidRPr="006C3CC1">
        <w:rPr>
          <w:rFonts w:ascii="Times New Roman" w:eastAsia="Times New Roman" w:hAnsi="Times New Roman" w:cs="Times New Roman"/>
          <w:sz w:val="24"/>
          <w:szCs w:val="24"/>
        </w:rPr>
        <w:t>нформации, необходимую информацию из библиотечных учебников.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Свободно участвует в публичных конкурсах.</w:t>
      </w:r>
    </w:p>
    <w:p w:rsidR="006D1CED" w:rsidRPr="006C3CC1" w:rsidRDefault="003372F2" w:rsidP="006C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sz w:val="24"/>
          <w:szCs w:val="24"/>
        </w:rPr>
        <w:t>● Обсуждение актуальных проблем современной молодежи и подготовка лучших предложений по их решению.</w:t>
      </w:r>
    </w:p>
    <w:p w:rsidR="006D1CED" w:rsidRPr="006C3CC1" w:rsidRDefault="003372F2" w:rsidP="006C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  <w:proofErr w:type="spellStart"/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дебатного</w:t>
      </w:r>
      <w:proofErr w:type="spellEnd"/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клуба «</w:t>
      </w:r>
      <w:proofErr w:type="spellStart"/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Bolashaq</w:t>
      </w:r>
      <w:proofErr w:type="spellEnd"/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tbl>
      <w:tblPr>
        <w:tblStyle w:val="a5"/>
        <w:tblW w:w="9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3"/>
        <w:gridCol w:w="4678"/>
        <w:gridCol w:w="1417"/>
        <w:gridCol w:w="2552"/>
      </w:tblGrid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CED" w:rsidRPr="006C3CC1" w:rsidRDefault="003372F2" w:rsidP="006C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6D1CED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6D1CED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6D1CED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дебаты?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дебатов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Стиль дебатов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 вуза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мероприятия «День духовного согласия»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Октябрь,2024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Виды, образцы написания резолюций.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резолюции.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«Судьба языка-судьба страны»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Критерий-цель. </w:t>
            </w:r>
            <w:proofErr w:type="spellStart"/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Резолюция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Ноябрь,2024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критерия для резолюции, ее экспертиза. Обоснование критерия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«Гражданин мира и  человек без родины –одно и тоже»?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Связь критерия с резолюцией и аргументами.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энциклопедическим словарем.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Эта палата считает, что образование-это высший предел воспитания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Атака разума-первый шаг в построении аргумента.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Независимость дороже всего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аргумента.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Январь,2025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аргументов.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аргументов.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«Религиозная грамотность-основа подрастающего поколения»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Исследования и доказательства.</w:t>
            </w:r>
          </w:p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данных, интервью со специалистами.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Февраль,2025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Виды доказательств: свидетельства, факты, статистические данные, обзоры.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Модель каркасного кейса. Пример датского кейса.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«Современная наука и образование»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Роль спикера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hd w:val="clear" w:color="auto" w:fill="FFFFFF"/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ученик должен играть на музыкальном инструменте.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методы постановки вопросов.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цепочки вопросов.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«Кандидаты в депутаты»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Апрель,2025</w:t>
            </w:r>
          </w:p>
        </w:tc>
      </w:tr>
      <w:tr w:rsidR="006D1CED" w:rsidRPr="006C3CC1" w:rsidTr="006C3CC1">
        <w:trPr>
          <w:trHeight w:val="1276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спикеров при встречных вопросах и ответах.</w:t>
            </w:r>
          </w:p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«ДП считает, что электронные библиотеки приведут к обесцениванию историко-культурного наследия человечества».</w:t>
            </w:r>
          </w:p>
          <w:p w:rsidR="006D1CED" w:rsidRPr="006C3CC1" w:rsidRDefault="006D1CED" w:rsidP="006C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Pr="006C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CED" w:rsidRPr="006C3CC1" w:rsidRDefault="006D1CED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ED" w:rsidRPr="006C3CC1" w:rsidRDefault="006D1CED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  <w:p w:rsidR="006D1CED" w:rsidRPr="006C3CC1" w:rsidRDefault="006D1CED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 «Реклама создает искусственные потребности»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«Бездомные и дети-инвалиды в Казахстане»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hd w:val="clear" w:color="auto" w:fill="FFFFFF"/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нельзя позволять пить газировку.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Май,2025</w:t>
            </w:r>
          </w:p>
        </w:tc>
      </w:tr>
      <w:tr w:rsidR="006D1CED" w:rsidRPr="006C3CC1" w:rsidTr="006C3CC1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«Эта палата предлагает ввести обязательную школьную форму»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D1CED" w:rsidRPr="006C3CC1" w:rsidRDefault="003372F2" w:rsidP="006C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6D1CED" w:rsidRPr="006C3CC1" w:rsidRDefault="006D1CED" w:rsidP="006C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CED" w:rsidRPr="006C3CC1" w:rsidRDefault="006D1CED" w:rsidP="006C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CED" w:rsidRPr="006C3CC1" w:rsidRDefault="006D1CED" w:rsidP="006C3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ED" w:rsidRPr="006C3CC1" w:rsidRDefault="006C3CC1" w:rsidP="006C3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  <w:proofErr w:type="gramStart"/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Координатор: </w:t>
      </w:r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proofErr w:type="gramEnd"/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Pr="006C3C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Шитова Е.А.</w:t>
      </w:r>
    </w:p>
    <w:sectPr w:rsidR="006D1CED" w:rsidRPr="006C3CC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F2" w:rsidRDefault="003372F2" w:rsidP="004E6F19">
      <w:pPr>
        <w:spacing w:after="0" w:line="240" w:lineRule="auto"/>
      </w:pPr>
      <w:r>
        <w:separator/>
      </w:r>
    </w:p>
  </w:endnote>
  <w:endnote w:type="continuationSeparator" w:id="0">
    <w:p w:rsidR="003372F2" w:rsidRDefault="003372F2" w:rsidP="004E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F2" w:rsidRDefault="003372F2" w:rsidP="004E6F19">
      <w:pPr>
        <w:spacing w:after="0" w:line="240" w:lineRule="auto"/>
      </w:pPr>
      <w:r>
        <w:separator/>
      </w:r>
    </w:p>
  </w:footnote>
  <w:footnote w:type="continuationSeparator" w:id="0">
    <w:p w:rsidR="003372F2" w:rsidRDefault="003372F2" w:rsidP="004E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ED"/>
    <w:rsid w:val="003372F2"/>
    <w:rsid w:val="004E6F19"/>
    <w:rsid w:val="006C3CC1"/>
    <w:rsid w:val="006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A9F1"/>
  <w15:docId w15:val="{C410B433-AC74-4846-BE43-532560DA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E6F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F19"/>
  </w:style>
  <w:style w:type="paragraph" w:styleId="a8">
    <w:name w:val="footer"/>
    <w:basedOn w:val="a"/>
    <w:link w:val="a9"/>
    <w:uiPriority w:val="99"/>
    <w:unhideWhenUsed/>
    <w:rsid w:val="004E6F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Айтжан Даулет Кенжебаевич</cp:lastModifiedBy>
  <cp:revision>2</cp:revision>
  <dcterms:created xsi:type="dcterms:W3CDTF">2025-01-27T07:40:00Z</dcterms:created>
  <dcterms:modified xsi:type="dcterms:W3CDTF">2025-01-27T07:40:00Z</dcterms:modified>
</cp:coreProperties>
</file>