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60" w:line="240" w:lineRule="exact"/>
        <w:ind w:left="0" w:right="70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ЭКСПЕРТНОЕ ЗАКЛЮЧЕНИЕ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236" w:line="269" w:lineRule="exact"/>
        <w:ind w:left="0" w:right="70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образовательную программу специальности</w:t>
        <w:br/>
        <w:t>6В04201 «Юриспруденция» Академии «Болашак»</w:t>
      </w:r>
      <w:bookmarkEnd w:id="1"/>
    </w:p>
    <w:p>
      <w:pPr>
        <w:pStyle w:val="Style5"/>
        <w:tabs>
          <w:tab w:leader="none" w:pos="34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Образовательная программа направлена на подготовку бакалавров по специальности 6В04201 «Юриспруденция». Программа представляет собой систему модулей, регламентирующих цели, ожидаемые результаты, содержание, условия и технологии реализации образовательного процесса. Образовательная программа включает все необходимые разделы:</w:t>
        <w:tab/>
        <w:t>содержание образовательной программы, перечень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формируемых компетенций, рабочие учебные планы и графики прохождения учебного процесса, формуляры для описания модулей, сводную таблицу, отражающая объем освоенных кредитов в разрезе модулей образовательной программы и другие материалы.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МОП полностью соответствует требованиям профессиональных стандартов в сфере подготовки кадров высшей квалификации в области экологии.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образовательной программе бакалавра объем теоретической подготовки, реализуемый за 4 года позволяет обеспечить уровень, соответствующий требованиям обучения, за счет введения компетентностного подхода, использования активных образовательных технологий, привлечения работодателей к учебному процессу.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Образовательная программа имеет достаточное кадровое, учебно-методическое, информационное и материально-техническое обеспечение, необходимое для подготовки высококвалифицированных специалистов. Бакалавры изучают дисциплины, с учетом образовательных программ ведущих Европейских Вузов составленных на основе международных программ. Для бакалавров читаются лекции и проводятся практические занятия по таким дисциплинам, как «Гражданское право», «Договорное право», «Предпринимательское право», «Налоговое право», «Финансовое право» и др.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07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основе анализа образовательной программы по подготовке бакалавров специальности 6В04201 - «Юриспруденция», можно сделать заключение, что данная программа раскрывает широкие возможности для подготовки высококвалифицированных специалистов в области юриспруденции.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95pt;margin-top:-16.3pt;width:221.3pt;height:107.5pt;z-index:-125829376;mso-wrap-distance-left:35.3pt;mso-wrap-distance-right:5.pt;mso-wrap-distance-bottom:20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Эксперт.</w:t>
      </w:r>
    </w:p>
    <w:p>
      <w:pPr>
        <w:pStyle w:val="Style5"/>
        <w:tabs>
          <w:tab w:leader="none" w:pos="308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Директор региональной палаты предпринимателей</w:t>
        <w:tab/>
        <w:t>«Атамекен»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Карагандинской области</w:t>
      </w:r>
    </w:p>
    <w:sectPr>
      <w:footnotePr>
        <w:pos w:val="pageBottom"/>
        <w:numFmt w:val="decimal"/>
        <w:numRestart w:val="continuous"/>
      </w:footnotePr>
      <w:pgSz w:w="11900" w:h="16840"/>
      <w:pgMar w:top="1155" w:left="1664" w:right="822" w:bottom="11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24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before="780" w:after="60" w:line="0" w:lineRule="exact"/>
      <w:ind w:firstLine="74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